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B" w:rsidRDefault="000B3FCB">
      <w:pPr>
        <w:pStyle w:val="Title"/>
      </w:pPr>
      <w:smartTag w:uri="urn:schemas-microsoft-com:office:smarttags" w:element="place">
        <w:r>
          <w:t>GREAT PLAINS</w:t>
        </w:r>
      </w:smartTag>
      <w:r>
        <w:t xml:space="preserve"> ENTERPRISES INCORPORATED</w:t>
      </w:r>
    </w:p>
    <w:p w:rsidR="000B3FCB" w:rsidRDefault="000B3FCB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A NOT-FOR-PROFIT CORPORATION</w:t>
      </w:r>
    </w:p>
    <w:p w:rsidR="000B3FCB" w:rsidRDefault="000B3FCB">
      <w:pPr>
        <w:jc w:val="center"/>
        <w:rPr>
          <w:b/>
          <w:bCs/>
          <w:i/>
          <w:iCs/>
          <w:sz w:val="22"/>
        </w:rPr>
      </w:pPr>
    </w:p>
    <w:p w:rsidR="000B3FCB" w:rsidRDefault="000B3FCB">
      <w:pPr>
        <w:jc w:val="center"/>
        <w:rPr>
          <w:b/>
          <w:bCs/>
          <w:i/>
          <w:iCs/>
          <w:sz w:val="22"/>
        </w:rPr>
      </w:pPr>
    </w:p>
    <w:p w:rsidR="000B3FCB" w:rsidRDefault="000B3FCB">
      <w:pPr>
        <w:jc w:val="center"/>
        <w:rPr>
          <w:b/>
          <w:bCs/>
          <w:i/>
          <w:iCs/>
          <w:sz w:val="22"/>
        </w:rPr>
      </w:pPr>
    </w:p>
    <w:p w:rsidR="000B3FCB" w:rsidRDefault="000B3FCB">
      <w:pPr>
        <w:jc w:val="center"/>
        <w:rPr>
          <w:b/>
          <w:bCs/>
          <w:i/>
          <w:iCs/>
          <w:sz w:val="22"/>
        </w:rPr>
      </w:pPr>
    </w:p>
    <w:p w:rsidR="000B3FCB" w:rsidRDefault="000B3FCB">
      <w:pPr>
        <w:jc w:val="both"/>
        <w:rPr>
          <w:b/>
          <w:bCs/>
          <w:i/>
          <w:iCs/>
          <w:sz w:val="22"/>
        </w:rPr>
      </w:pPr>
    </w:p>
    <w:p w:rsidR="000B3FCB" w:rsidRDefault="000B3FCB">
      <w:pPr>
        <w:pStyle w:val="BodyText"/>
        <w:rPr>
          <w:sz w:val="24"/>
        </w:rPr>
      </w:pPr>
      <w:r>
        <w:rPr>
          <w:sz w:val="24"/>
        </w:rPr>
        <w:t xml:space="preserve">Great Plains Enterprises Inc. (GPE) was chartered in the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Missouri</w:t>
          </w:r>
        </w:smartTag>
      </w:smartTag>
      <w:r>
        <w:rPr>
          <w:sz w:val="24"/>
        </w:rPr>
        <w:t xml:space="preserve"> October 1999.</w:t>
      </w:r>
    </w:p>
    <w:p w:rsidR="000B3FCB" w:rsidRDefault="000B3FCB">
      <w:pPr>
        <w:pStyle w:val="BodyText"/>
        <w:rPr>
          <w:sz w:val="24"/>
        </w:rPr>
      </w:pPr>
      <w:r>
        <w:rPr>
          <w:sz w:val="24"/>
        </w:rPr>
        <w:t xml:space="preserve">GPE is a not-for-profit corporation organized for the specific purpose of providing education, training and employment opportunities for the blind, disabled and the </w:t>
      </w:r>
      <w:r w:rsidR="0031056B">
        <w:rPr>
          <w:sz w:val="24"/>
        </w:rPr>
        <w:t>significantly disabled</w:t>
      </w:r>
      <w:r>
        <w:rPr>
          <w:sz w:val="24"/>
        </w:rPr>
        <w:t xml:space="preserve">.  Since </w:t>
      </w:r>
      <w:r w:rsidR="007A06DC">
        <w:rPr>
          <w:sz w:val="24"/>
        </w:rPr>
        <w:t>its</w:t>
      </w:r>
      <w:r>
        <w:rPr>
          <w:sz w:val="24"/>
        </w:rPr>
        <w:t xml:space="preserve"> charter GPE has actively pursued business opportunities that furthered this purpose, creating new jobs for the blind and disabled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Texas</w:t>
          </w:r>
        </w:smartTag>
      </w:smartTag>
      <w:r>
        <w:rPr>
          <w:sz w:val="24"/>
        </w:rPr>
        <w:t>, California</w:t>
      </w:r>
      <w:r w:rsidR="006E6673">
        <w:rPr>
          <w:sz w:val="24"/>
        </w:rPr>
        <w:t>, Arizona, Oklahoma, Kentucky</w:t>
      </w:r>
      <w:r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Nevada</w:t>
          </w:r>
        </w:smartTag>
      </w:smartTag>
      <w:r>
        <w:rPr>
          <w:sz w:val="24"/>
        </w:rPr>
        <w:t>, while fostering an environment that promoted success for both the employee and the customer.</w:t>
      </w: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  <w:r>
        <w:rPr>
          <w:sz w:val="24"/>
        </w:rPr>
        <w:t>Although GPE was chartered for a specific charitable purpose, it does not obviate the focus on customer and customer satisfaction.  All business ventures depend on customer or consumer satisfaction for continued existence, GPE is no different; and perhaps because of the nature of the workforce, must exceed expectations.  To this end, GPE has developed a Strategic Vision that embraces both the employment goals of its charter and customer orientation.</w:t>
      </w:r>
    </w:p>
    <w:p w:rsidR="000B3FCB" w:rsidRDefault="000B3FCB">
      <w:pPr>
        <w:pStyle w:val="BodyText"/>
        <w:jc w:val="left"/>
        <w:rPr>
          <w:sz w:val="24"/>
        </w:rPr>
      </w:pPr>
    </w:p>
    <w:p w:rsidR="000B3FCB" w:rsidRDefault="000B3FCB">
      <w:pPr>
        <w:pStyle w:val="BodyText"/>
      </w:pPr>
    </w:p>
    <w:p w:rsidR="000B3FCB" w:rsidRDefault="000B3FCB">
      <w:pPr>
        <w:pStyle w:val="BodyText"/>
      </w:pPr>
    </w:p>
    <w:p w:rsidR="000B3FCB" w:rsidRDefault="000B3FC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GPE STRATEGIC VISION</w:t>
      </w:r>
    </w:p>
    <w:p w:rsidR="000B3FCB" w:rsidRDefault="000B3FCB">
      <w:pPr>
        <w:pStyle w:val="BodyText"/>
        <w:jc w:val="center"/>
        <w:rPr>
          <w:b/>
          <w:bCs/>
          <w:sz w:val="24"/>
        </w:rPr>
      </w:pPr>
    </w:p>
    <w:p w:rsidR="000B3FCB" w:rsidRDefault="000B3FCB">
      <w:pPr>
        <w:pStyle w:val="BodyText"/>
        <w:rPr>
          <w:i/>
          <w:iCs/>
          <w:sz w:val="24"/>
        </w:rPr>
      </w:pPr>
      <w:r>
        <w:rPr>
          <w:i/>
          <w:iCs/>
          <w:sz w:val="24"/>
        </w:rPr>
        <w:t xml:space="preserve">A quality service organization employing people with </w:t>
      </w:r>
      <w:r w:rsidR="0031056B">
        <w:rPr>
          <w:i/>
          <w:iCs/>
          <w:sz w:val="24"/>
        </w:rPr>
        <w:t>significant</w:t>
      </w:r>
      <w:r w:rsidR="006E6673">
        <w:rPr>
          <w:i/>
          <w:iCs/>
          <w:sz w:val="24"/>
        </w:rPr>
        <w:t xml:space="preserve"> </w:t>
      </w:r>
      <w:r>
        <w:rPr>
          <w:i/>
          <w:iCs/>
          <w:sz w:val="24"/>
        </w:rPr>
        <w:t>disabilities, providing customers services exceeding expectations; building and expanding the business base through excellence of performance and character of reputation.</w:t>
      </w:r>
    </w:p>
    <w:p w:rsidR="000B3FCB" w:rsidRDefault="000B3FCB">
      <w:pPr>
        <w:pStyle w:val="BodyText"/>
        <w:rPr>
          <w:i/>
          <w:iCs/>
          <w:sz w:val="24"/>
        </w:rPr>
      </w:pPr>
    </w:p>
    <w:p w:rsidR="000B3FCB" w:rsidRDefault="000B3FC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GPE OPERATIONS</w:t>
      </w:r>
    </w:p>
    <w:p w:rsidR="000B3FCB" w:rsidRDefault="000B3FCB">
      <w:pPr>
        <w:pStyle w:val="BodyText"/>
        <w:rPr>
          <w:i/>
          <w:iCs/>
          <w:sz w:val="24"/>
        </w:rPr>
      </w:pPr>
    </w:p>
    <w:p w:rsidR="000B3FCB" w:rsidRDefault="000B3FCB">
      <w:pPr>
        <w:pStyle w:val="BodyText"/>
        <w:rPr>
          <w:sz w:val="24"/>
        </w:rPr>
      </w:pPr>
      <w:r>
        <w:rPr>
          <w:sz w:val="24"/>
        </w:rPr>
        <w:t xml:space="preserve">Currently, GPE conducts business at </w:t>
      </w:r>
      <w:r w:rsidR="00191947">
        <w:rPr>
          <w:sz w:val="24"/>
        </w:rPr>
        <w:t>Altus AFB, Altus Oklahoma</w:t>
      </w:r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Ft. Irwin</w:t>
        </w:r>
      </w:smartTag>
      <w:r>
        <w:rPr>
          <w:sz w:val="24"/>
        </w:rPr>
        <w:t>, California</w:t>
      </w:r>
      <w:r w:rsidR="00191947">
        <w:rPr>
          <w:sz w:val="24"/>
        </w:rPr>
        <w:t>, Yuma Marine Naval Air Station, Yuma Arizona</w:t>
      </w:r>
      <w:r w:rsidR="006E6673">
        <w:rPr>
          <w:sz w:val="24"/>
        </w:rPr>
        <w:t>, Fort Campbell, Fort Campbell Kentucky</w:t>
      </w:r>
      <w:r w:rsidR="00191947">
        <w:rPr>
          <w:sz w:val="24"/>
        </w:rPr>
        <w:t xml:space="preserve"> </w:t>
      </w:r>
      <w:r>
        <w:rPr>
          <w:sz w:val="24"/>
        </w:rPr>
        <w:t xml:space="preserve">and Nellis Air Force Base Nevada. The business processes consist </w:t>
      </w:r>
      <w:r w:rsidR="00191947">
        <w:rPr>
          <w:sz w:val="24"/>
        </w:rPr>
        <w:t>of Commissary operations; shelf-</w:t>
      </w:r>
      <w:r>
        <w:rPr>
          <w:sz w:val="24"/>
        </w:rPr>
        <w:t>stocking,</w:t>
      </w:r>
      <w:r w:rsidR="00191947">
        <w:rPr>
          <w:sz w:val="24"/>
        </w:rPr>
        <w:t xml:space="preserve"> warehousing</w:t>
      </w:r>
      <w:r>
        <w:rPr>
          <w:sz w:val="24"/>
        </w:rPr>
        <w:t xml:space="preserve"> and janitorial/custodial functions</w:t>
      </w:r>
      <w:r w:rsidR="006E6673">
        <w:rPr>
          <w:sz w:val="24"/>
        </w:rPr>
        <w:t>; laundry and dry cleaning functions</w:t>
      </w:r>
      <w:r>
        <w:rPr>
          <w:sz w:val="24"/>
        </w:rPr>
        <w:t>.   These business practices form the nexus of GPE; however, they represent only a small portion of its’ potential and future operations.  As GPE matures building upon success, the core business will expand to include numerous administrative functions.  A complete list of potential core business practices is detailed on the following page.</w:t>
      </w: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Administrative Services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Janitorial/Custodial Services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Assembly of Kits, Packets, Components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Laundry Services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Commercial/Central Facilities Management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Mailroom Services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Commissary Shelf Stocking and Warehousing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Medical Transcription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Entry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Operation of Call Centers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Database Management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Operation of Supply Centers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 Food Service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Recycling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Food Service Attendants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Switchboard Operations </w:t>
            </w:r>
          </w:p>
        </w:tc>
      </w:tr>
      <w:tr w:rsidR="000B3FCB">
        <w:trPr>
          <w:tblCellSpacing w:w="0" w:type="dxa"/>
        </w:trPr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Grounds Maintenance </w:t>
            </w:r>
          </w:p>
        </w:tc>
        <w:tc>
          <w:tcPr>
            <w:tcW w:w="2500" w:type="pct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Warehouse/Storage/Distribution </w:t>
            </w:r>
          </w:p>
        </w:tc>
      </w:tr>
      <w:tr w:rsidR="000B3FCB">
        <w:trPr>
          <w:tblCellSpacing w:w="0" w:type="dxa"/>
        </w:trPr>
        <w:tc>
          <w:tcPr>
            <w:tcW w:w="0" w:type="auto"/>
            <w:vAlign w:val="center"/>
          </w:tcPr>
          <w:p w:rsidR="000B3FCB" w:rsidRDefault="000B3F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Support Services </w:t>
            </w:r>
            <w:r>
              <w:rPr>
                <w:rFonts w:ascii="Verdana" w:hAnsi="Verdana"/>
                <w:sz w:val="15"/>
                <w:szCs w:val="15"/>
              </w:rPr>
              <w:t>(Available on a Temporary and/or Permanent Basis)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B3FCB" w:rsidRDefault="000B3FCB">
            <w:pPr>
              <w:rPr>
                <w:sz w:val="20"/>
                <w:szCs w:val="20"/>
              </w:rPr>
            </w:pPr>
          </w:p>
        </w:tc>
      </w:tr>
    </w:tbl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GPE STRATEGIC GOALS </w:t>
      </w:r>
    </w:p>
    <w:p w:rsidR="000B3FCB" w:rsidRDefault="000B3FCB">
      <w:pPr>
        <w:pStyle w:val="BodyText"/>
        <w:jc w:val="center"/>
        <w:rPr>
          <w:b/>
          <w:bCs/>
          <w:sz w:val="24"/>
        </w:rPr>
      </w:pP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To hire and employ blind and individuals with disabilities to the maximum extent possible</w:t>
      </w: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To provide education, training and vocational opportunities for all employees</w:t>
      </w: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To meet or exceed industry standards for quality and timeliness for all core functions</w:t>
      </w: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To exceed customer expectations for quality and timeliness</w:t>
      </w: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grow the business base, expanding throughout the </w:t>
      </w:r>
      <w:smartTag w:uri="urn:schemas-microsoft-com:office:smarttags" w:element="place">
        <w:r>
          <w:rPr>
            <w:sz w:val="24"/>
          </w:rPr>
          <w:t>Midwest</w:t>
        </w:r>
      </w:smartTag>
      <w:r>
        <w:rPr>
          <w:sz w:val="24"/>
        </w:rPr>
        <w:t xml:space="preserve"> </w:t>
      </w:r>
    </w:p>
    <w:p w:rsidR="000B3FCB" w:rsidRDefault="000B3FCB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To develop positive community image</w:t>
      </w:r>
    </w:p>
    <w:p w:rsidR="000B3FCB" w:rsidRDefault="000B3FCB">
      <w:pPr>
        <w:pStyle w:val="BodyText"/>
        <w:rPr>
          <w:sz w:val="24"/>
        </w:rPr>
      </w:pPr>
    </w:p>
    <w:p w:rsidR="000B3FCB" w:rsidRDefault="000B3FCB">
      <w:pPr>
        <w:pStyle w:val="BodyText"/>
        <w:rPr>
          <w:sz w:val="24"/>
        </w:rPr>
      </w:pPr>
      <w:r>
        <w:rPr>
          <w:sz w:val="24"/>
        </w:rPr>
        <w:t xml:space="preserve"> </w:t>
      </w:r>
    </w:p>
    <w:sectPr w:rsidR="000B3FCB" w:rsidSect="009A397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0F7" w:rsidRDefault="00E210F7">
      <w:r>
        <w:separator/>
      </w:r>
    </w:p>
  </w:endnote>
  <w:endnote w:type="continuationSeparator" w:id="0">
    <w:p w:rsidR="00E210F7" w:rsidRDefault="00E2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CB" w:rsidRDefault="009A3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F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FCB" w:rsidRDefault="000B3F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CB" w:rsidRDefault="009A3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F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0F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FCB" w:rsidRDefault="000B3F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0F7" w:rsidRDefault="00E210F7">
      <w:r>
        <w:separator/>
      </w:r>
    </w:p>
  </w:footnote>
  <w:footnote w:type="continuationSeparator" w:id="0">
    <w:p w:rsidR="00E210F7" w:rsidRDefault="00E21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2016"/>
    <w:multiLevelType w:val="hybridMultilevel"/>
    <w:tmpl w:val="5C769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06DC"/>
    <w:rsid w:val="000B3FCB"/>
    <w:rsid w:val="00191947"/>
    <w:rsid w:val="0031056B"/>
    <w:rsid w:val="003E3582"/>
    <w:rsid w:val="006E6673"/>
    <w:rsid w:val="007A06DC"/>
    <w:rsid w:val="009A3971"/>
    <w:rsid w:val="00E2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39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971"/>
  </w:style>
  <w:style w:type="paragraph" w:styleId="Header">
    <w:name w:val="header"/>
    <w:basedOn w:val="Normal"/>
    <w:rsid w:val="009A39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A3971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9A3971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EAT%20PLAINS%20ENTERPRISES%20INCORPOR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GREAT PLAINS ENTERPRISES INCORPORATED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ENTERPRISES INCORPORATED</vt:lpstr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ENTERPRISES INCORPORATED</dc:title>
  <dc:creator>Terry Schultz</dc:creator>
  <cp:lastModifiedBy>User</cp:lastModifiedBy>
  <cp:revision>2</cp:revision>
  <cp:lastPrinted>2011-05-28T13:17:00Z</cp:lastPrinted>
  <dcterms:created xsi:type="dcterms:W3CDTF">2011-05-29T16:33:00Z</dcterms:created>
  <dcterms:modified xsi:type="dcterms:W3CDTF">2011-05-29T16:33:00Z</dcterms:modified>
</cp:coreProperties>
</file>